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55126" w14:textId="77777777" w:rsidR="007E7C83" w:rsidRDefault="007D402B" w:rsidP="007E7C83">
      <w:pPr>
        <w:spacing w:line="360" w:lineRule="auto"/>
        <w:jc w:val="center"/>
        <w:rPr>
          <w:rFonts w:ascii="宋体" w:eastAsia="宋体" w:hAnsi="宋体" w:cs="Arial"/>
          <w:b/>
          <w:bCs/>
          <w:color w:val="191919"/>
          <w:kern w:val="0"/>
          <w:sz w:val="44"/>
          <w:szCs w:val="44"/>
          <w:bdr w:val="none" w:sz="0" w:space="0" w:color="auto" w:frame="1"/>
        </w:rPr>
      </w:pPr>
      <w:r w:rsidRPr="007E7C83">
        <w:rPr>
          <w:rFonts w:ascii="宋体" w:eastAsia="宋体" w:hAnsi="宋体" w:cs="Arial" w:hint="eastAsia"/>
          <w:b/>
          <w:bCs/>
          <w:color w:val="191919"/>
          <w:kern w:val="0"/>
          <w:sz w:val="44"/>
          <w:szCs w:val="44"/>
          <w:bdr w:val="none" w:sz="0" w:space="0" w:color="auto" w:frame="1"/>
        </w:rPr>
        <w:t>国有企业、上市公司</w:t>
      </w:r>
    </w:p>
    <w:p w14:paraId="6631ACA6" w14:textId="3EA37110" w:rsidR="007D402B" w:rsidRPr="007E7C83" w:rsidRDefault="007D402B" w:rsidP="007E7C83">
      <w:pPr>
        <w:spacing w:after="240" w:line="360" w:lineRule="auto"/>
        <w:jc w:val="center"/>
        <w:rPr>
          <w:rFonts w:ascii="宋体" w:eastAsia="宋体" w:hAnsi="宋体" w:cs="Arial"/>
          <w:b/>
          <w:bCs/>
          <w:color w:val="191919"/>
          <w:kern w:val="0"/>
          <w:sz w:val="44"/>
          <w:szCs w:val="44"/>
          <w:bdr w:val="none" w:sz="0" w:space="0" w:color="auto" w:frame="1"/>
        </w:rPr>
      </w:pPr>
      <w:r w:rsidRPr="007E7C83">
        <w:rPr>
          <w:rFonts w:ascii="宋体" w:eastAsia="宋体" w:hAnsi="宋体" w:cs="Arial" w:hint="eastAsia"/>
          <w:b/>
          <w:bCs/>
          <w:color w:val="191919"/>
          <w:kern w:val="0"/>
          <w:sz w:val="44"/>
          <w:szCs w:val="44"/>
          <w:bdr w:val="none" w:sz="0" w:space="0" w:color="auto" w:frame="1"/>
        </w:rPr>
        <w:t>选聘会计师事务所管理办法</w:t>
      </w:r>
    </w:p>
    <w:p w14:paraId="06C0FA16" w14:textId="77777777" w:rsidR="007D402B" w:rsidRPr="007D402B" w:rsidRDefault="007D402B" w:rsidP="007E7C83">
      <w:pPr>
        <w:spacing w:before="240"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第一条</w:t>
      </w:r>
      <w:r w:rsidRPr="007D402B">
        <w:rPr>
          <w:rFonts w:ascii="宋体" w:eastAsia="宋体" w:hAnsi="宋体" w:cs="Arial"/>
          <w:bCs/>
          <w:color w:val="191919"/>
          <w:kern w:val="0"/>
          <w:sz w:val="30"/>
          <w:szCs w:val="30"/>
          <w:bdr w:val="none" w:sz="0" w:space="0" w:color="auto" w:frame="1"/>
        </w:rPr>
        <w:t xml:space="preserve"> 为规范国有企业、上市公司选聘会计师事务所行为，促进注册会计师行业公平竞争</w:t>
      </w:r>
      <w:bookmarkStart w:id="0" w:name="_GoBack"/>
      <w:bookmarkEnd w:id="0"/>
      <w:r w:rsidRPr="007D402B">
        <w:rPr>
          <w:rFonts w:ascii="宋体" w:eastAsia="宋体" w:hAnsi="宋体" w:cs="Arial"/>
          <w:bCs/>
          <w:color w:val="191919"/>
          <w:kern w:val="0"/>
          <w:sz w:val="30"/>
          <w:szCs w:val="30"/>
          <w:bdr w:val="none" w:sz="0" w:space="0" w:color="auto" w:frame="1"/>
        </w:rPr>
        <w:t>，推动提升审计质量，维护利益相关方和会计师事务所的合法权益，根据《中华人民共和国公司法》、《中华人民共和国会计法》、《中华人民共和国注册会计师法》及相关法律法规，制定本办法。</w:t>
      </w:r>
    </w:p>
    <w:p w14:paraId="05836620"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第二条</w:t>
      </w:r>
      <w:r w:rsidRPr="007D402B">
        <w:rPr>
          <w:rFonts w:ascii="宋体" w:eastAsia="宋体" w:hAnsi="宋体" w:cs="Arial"/>
          <w:bCs/>
          <w:color w:val="191919"/>
          <w:kern w:val="0"/>
          <w:sz w:val="30"/>
          <w:szCs w:val="30"/>
          <w:bdr w:val="none" w:sz="0" w:space="0" w:color="auto" w:frame="1"/>
        </w:rPr>
        <w:t xml:space="preserve"> 本办法适用于国有企业和上市公司。本办法所称国有企业，是指国务院和地方人民政府代表国家履行出资人职责的国有独资企业、国有独资公司、国有全资公司，以及国有控股公司。本办法所称上市公司，是指其股票在境内证券交易所上市交易的股份有限公司。</w:t>
      </w:r>
    </w:p>
    <w:p w14:paraId="0480B345"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国有控股上市公司应当同时符合本办法中关于国有企业和上市公司的规定。</w:t>
      </w:r>
    </w:p>
    <w:p w14:paraId="4DC2E19A"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第三条</w:t>
      </w:r>
      <w:r w:rsidRPr="007D402B">
        <w:rPr>
          <w:rFonts w:ascii="宋体" w:eastAsia="宋体" w:hAnsi="宋体" w:cs="Arial"/>
          <w:bCs/>
          <w:color w:val="191919"/>
          <w:kern w:val="0"/>
          <w:sz w:val="30"/>
          <w:szCs w:val="30"/>
          <w:bdr w:val="none" w:sz="0" w:space="0" w:color="auto" w:frame="1"/>
        </w:rPr>
        <w:t xml:space="preserve"> 本办法所称选聘会计师事务所，是指国有企业、上市公司根据相关法律法规要求，聘任会计师事务所对财务会计报告发表审计意见、出具审计报告的行为。</w:t>
      </w:r>
    </w:p>
    <w:p w14:paraId="7573736C"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国有企业、上市公司聘任会计师事务所从事除财务会计报告审计之外的其他法定审计业务的，可以比照本办法执行。</w:t>
      </w:r>
    </w:p>
    <w:p w14:paraId="350B6A0F"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第四条</w:t>
      </w:r>
      <w:r w:rsidRPr="007D402B">
        <w:rPr>
          <w:rFonts w:ascii="宋体" w:eastAsia="宋体" w:hAnsi="宋体" w:cs="Arial"/>
          <w:bCs/>
          <w:color w:val="191919"/>
          <w:kern w:val="0"/>
          <w:sz w:val="30"/>
          <w:szCs w:val="30"/>
          <w:bdr w:val="none" w:sz="0" w:space="0" w:color="auto" w:frame="1"/>
        </w:rPr>
        <w:t xml:space="preserve"> 国有企业选聘会计师事务所，应当由董事会审计委员会（或者类似机构，下同）提出建议后，由股东（大）会或者董事会决定。</w:t>
      </w:r>
    </w:p>
    <w:p w14:paraId="36717E21"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lastRenderedPageBreak/>
        <w:t>对于未设股东（大）会或者董事会的国有企业，由履行出资人职责的机构决定或者授权国有企业决定相关事项。</w:t>
      </w:r>
    </w:p>
    <w:p w14:paraId="3D256FDB"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根据工作需要，履行出资人职责的机构可以直接选聘会计师事务所，对其出资的国有企业进行审计。</w:t>
      </w:r>
    </w:p>
    <w:p w14:paraId="08ADFCB8"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第五条</w:t>
      </w:r>
      <w:r w:rsidRPr="007D402B">
        <w:rPr>
          <w:rFonts w:ascii="宋体" w:eastAsia="宋体" w:hAnsi="宋体" w:cs="Arial"/>
          <w:bCs/>
          <w:color w:val="191919"/>
          <w:kern w:val="0"/>
          <w:sz w:val="30"/>
          <w:szCs w:val="30"/>
          <w:bdr w:val="none" w:sz="0" w:space="0" w:color="auto" w:frame="1"/>
        </w:rPr>
        <w:t xml:space="preserve"> 上市公司聘用或解聘会计师事务所，应当由审计委员会审议同意后，提交董事会审议，并由股东大会决定。</w:t>
      </w:r>
    </w:p>
    <w:p w14:paraId="0887EB51"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第六条</w:t>
      </w:r>
      <w:r w:rsidRPr="007D402B">
        <w:rPr>
          <w:rFonts w:ascii="宋体" w:eastAsia="宋体" w:hAnsi="宋体" w:cs="Arial"/>
          <w:bCs/>
          <w:color w:val="191919"/>
          <w:kern w:val="0"/>
          <w:sz w:val="30"/>
          <w:szCs w:val="30"/>
          <w:bdr w:val="none" w:sz="0" w:space="0" w:color="auto" w:frame="1"/>
        </w:rPr>
        <w:t xml:space="preserve"> 国有企业、上市公司</w:t>
      </w:r>
      <w:r w:rsidRPr="007D402B">
        <w:rPr>
          <w:rFonts w:ascii="宋体" w:eastAsia="宋体" w:hAnsi="宋体" w:cs="Arial"/>
          <w:bCs/>
          <w:color w:val="191919"/>
          <w:kern w:val="0"/>
          <w:sz w:val="30"/>
          <w:szCs w:val="30"/>
          <w:highlight w:val="yellow"/>
          <w:bdr w:val="none" w:sz="0" w:space="0" w:color="auto" w:frame="1"/>
        </w:rPr>
        <w:t>选聘会计师事务所应当采用竞争性谈判、公开招标、邀请招标以及其他能够充分了解会计师事务所胜任能力的选聘方式</w:t>
      </w:r>
      <w:r w:rsidRPr="007D402B">
        <w:rPr>
          <w:rFonts w:ascii="宋体" w:eastAsia="宋体" w:hAnsi="宋体" w:cs="Arial"/>
          <w:bCs/>
          <w:color w:val="191919"/>
          <w:kern w:val="0"/>
          <w:sz w:val="30"/>
          <w:szCs w:val="30"/>
          <w:bdr w:val="none" w:sz="0" w:space="0" w:color="auto" w:frame="1"/>
        </w:rPr>
        <w:t>，保障选聘工作公平、公正进行。</w:t>
      </w:r>
    </w:p>
    <w:p w14:paraId="0905A594"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采用竞争性谈判、公开招标、邀请招标等公开选聘方式的，应</w:t>
      </w:r>
      <w:r w:rsidRPr="007D402B">
        <w:rPr>
          <w:rFonts w:ascii="宋体" w:eastAsia="宋体" w:hAnsi="宋体" w:cs="Arial" w:hint="eastAsia"/>
          <w:bCs/>
          <w:color w:val="191919"/>
          <w:kern w:val="0"/>
          <w:sz w:val="30"/>
          <w:szCs w:val="30"/>
          <w:highlight w:val="yellow"/>
          <w:bdr w:val="none" w:sz="0" w:space="0" w:color="auto" w:frame="1"/>
        </w:rPr>
        <w:t>当通过企业官网等公开渠道发布选聘文件</w:t>
      </w:r>
      <w:r w:rsidRPr="007D402B">
        <w:rPr>
          <w:rFonts w:ascii="宋体" w:eastAsia="宋体" w:hAnsi="宋体" w:cs="Arial" w:hint="eastAsia"/>
          <w:bCs/>
          <w:color w:val="191919"/>
          <w:kern w:val="0"/>
          <w:sz w:val="30"/>
          <w:szCs w:val="30"/>
          <w:bdr w:val="none" w:sz="0" w:space="0" w:color="auto" w:frame="1"/>
        </w:rPr>
        <w:t>，选聘文件应当包含选聘基本信息、评价要素、具体评分标准等内容。企业应当依法确定选聘文件发布后会计师事务所提交应聘文件的响应时间，确保会计师事务所有充足时间获取选聘信息、准备应聘材料。企业不得以不合理的条件限制或者排斥潜在拟应聘会计师事务所，不得为个别会计师事务所量身定制选聘条件。选聘结果应当及时公示，公示内容应当包括拟选聘会计师事务所和审计费用。</w:t>
      </w:r>
    </w:p>
    <w:p w14:paraId="61E6BEBD"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第七条</w:t>
      </w:r>
      <w:r w:rsidRPr="007D402B">
        <w:rPr>
          <w:rFonts w:ascii="宋体" w:eastAsia="宋体" w:hAnsi="宋体" w:cs="Arial"/>
          <w:bCs/>
          <w:color w:val="191919"/>
          <w:kern w:val="0"/>
          <w:sz w:val="30"/>
          <w:szCs w:val="30"/>
          <w:bdr w:val="none" w:sz="0" w:space="0" w:color="auto" w:frame="1"/>
        </w:rPr>
        <w:t xml:space="preserve"> 国有企业、上市公司应当细化选聘会计师事务所的评价标准，对会计师事务所的应聘文件进行评价，并对参与评价人员的评价意见予以记录并保存。</w:t>
      </w:r>
    </w:p>
    <w:p w14:paraId="2CE6B708"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选聘会计师事务所的评价要素，至少应当包括审计费用报</w:t>
      </w:r>
      <w:r w:rsidRPr="007D402B">
        <w:rPr>
          <w:rFonts w:ascii="宋体" w:eastAsia="宋体" w:hAnsi="宋体" w:cs="Arial" w:hint="eastAsia"/>
          <w:bCs/>
          <w:color w:val="191919"/>
          <w:kern w:val="0"/>
          <w:sz w:val="30"/>
          <w:szCs w:val="30"/>
          <w:bdr w:val="none" w:sz="0" w:space="0" w:color="auto" w:frame="1"/>
        </w:rPr>
        <w:lastRenderedPageBreak/>
        <w:t>价、会计师事务所的资质条件、执业记录、质量管理水平、工作方案、人力及其他资源配备、信息安全管理、风险承担能力水平等。</w:t>
      </w:r>
    </w:p>
    <w:p w14:paraId="3E07A407"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highlight w:val="yellow"/>
          <w:bdr w:val="none" w:sz="0" w:space="0" w:color="auto" w:frame="1"/>
        </w:rPr>
        <w:t>选聘方应当对每个有效的应聘文件单独评价、打分，汇总各评价要素的得分。</w:t>
      </w:r>
      <w:r w:rsidRPr="007D402B">
        <w:rPr>
          <w:rFonts w:ascii="宋体" w:eastAsia="宋体" w:hAnsi="宋体" w:cs="Arial" w:hint="eastAsia"/>
          <w:bCs/>
          <w:color w:val="191919"/>
          <w:kern w:val="0"/>
          <w:sz w:val="30"/>
          <w:szCs w:val="30"/>
          <w:bdr w:val="none" w:sz="0" w:space="0" w:color="auto" w:frame="1"/>
        </w:rPr>
        <w:t>其中，</w:t>
      </w:r>
      <w:r w:rsidRPr="007D402B">
        <w:rPr>
          <w:rFonts w:ascii="宋体" w:eastAsia="宋体" w:hAnsi="宋体" w:cs="Arial" w:hint="eastAsia"/>
          <w:bCs/>
          <w:color w:val="191919"/>
          <w:kern w:val="0"/>
          <w:sz w:val="30"/>
          <w:szCs w:val="30"/>
          <w:highlight w:val="yellow"/>
          <w:bdr w:val="none" w:sz="0" w:space="0" w:color="auto" w:frame="1"/>
        </w:rPr>
        <w:t>质量管理水平的分值权重应不低于</w:t>
      </w:r>
      <w:r w:rsidRPr="007D402B">
        <w:rPr>
          <w:rFonts w:ascii="宋体" w:eastAsia="宋体" w:hAnsi="宋体" w:cs="Arial"/>
          <w:bCs/>
          <w:color w:val="191919"/>
          <w:kern w:val="0"/>
          <w:sz w:val="30"/>
          <w:szCs w:val="30"/>
          <w:highlight w:val="yellow"/>
          <w:bdr w:val="none" w:sz="0" w:space="0" w:color="auto" w:frame="1"/>
        </w:rPr>
        <w:t>40%，审计费用报价的分值权重应不高于15%</w:t>
      </w:r>
      <w:r w:rsidRPr="007D402B">
        <w:rPr>
          <w:rFonts w:ascii="宋体" w:eastAsia="宋体" w:hAnsi="宋体" w:cs="Arial"/>
          <w:bCs/>
          <w:color w:val="191919"/>
          <w:kern w:val="0"/>
          <w:sz w:val="30"/>
          <w:szCs w:val="30"/>
          <w:bdr w:val="none" w:sz="0" w:space="0" w:color="auto" w:frame="1"/>
        </w:rPr>
        <w:t>。</w:t>
      </w:r>
    </w:p>
    <w:p w14:paraId="244AF389"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第八条</w:t>
      </w:r>
      <w:r w:rsidRPr="007D402B">
        <w:rPr>
          <w:rFonts w:ascii="宋体" w:eastAsia="宋体" w:hAnsi="宋体" w:cs="Arial"/>
          <w:bCs/>
          <w:color w:val="191919"/>
          <w:kern w:val="0"/>
          <w:sz w:val="30"/>
          <w:szCs w:val="30"/>
          <w:bdr w:val="none" w:sz="0" w:space="0" w:color="auto" w:frame="1"/>
        </w:rPr>
        <w:t xml:space="preserve"> 国有企业、上市公司评价会计师事务所的质量管理水平时，应当重点评价质量管理制度及实施情况，包括项目咨询、意见分歧解决、项目质量复核、项目质量检查、质量管理缺陷识别与整改等方面的政策与程序。</w:t>
      </w:r>
    </w:p>
    <w:p w14:paraId="5B9D6EA1" w14:textId="0C43E8E9"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第九条</w:t>
      </w:r>
      <w:r w:rsidRPr="007D402B">
        <w:rPr>
          <w:rFonts w:ascii="宋体" w:eastAsia="宋体" w:hAnsi="宋体" w:cs="Arial"/>
          <w:bCs/>
          <w:color w:val="191919"/>
          <w:kern w:val="0"/>
          <w:sz w:val="30"/>
          <w:szCs w:val="30"/>
          <w:bdr w:val="none" w:sz="0" w:space="0" w:color="auto" w:frame="1"/>
        </w:rPr>
        <w:t xml:space="preserve"> 国有企业、上市公司评价会计师事务所审计费用报价时，应当将满足选聘文件要求的所有会计师事务所审计费用报价的平均值作为选聘基准价，按照下列公式计算审计费用报价得分：</w:t>
      </w:r>
    </w:p>
    <w:p w14:paraId="44A3F423" w14:textId="77777777" w:rsidR="007D402B" w:rsidRPr="007D402B" w:rsidRDefault="007D402B" w:rsidP="007D402B">
      <w:pPr>
        <w:spacing w:line="360" w:lineRule="auto"/>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审计费用报价得分</w:t>
      </w:r>
      <w:r w:rsidRPr="007D402B">
        <w:rPr>
          <w:rFonts w:ascii="宋体" w:eastAsia="宋体" w:hAnsi="宋体" w:cs="Arial"/>
          <w:bCs/>
          <w:color w:val="191919"/>
          <w:kern w:val="0"/>
          <w:sz w:val="30"/>
          <w:szCs w:val="30"/>
          <w:bdr w:val="none" w:sz="0" w:space="0" w:color="auto" w:frame="1"/>
        </w:rPr>
        <w:t>=（1-</w:t>
      </w:r>
      <w:r w:rsidRPr="007D402B">
        <w:rPr>
          <w:rFonts w:ascii="宋体" w:eastAsia="宋体" w:hAnsi="宋体" w:cs="微软雅黑" w:hint="eastAsia"/>
          <w:bCs/>
          <w:color w:val="191919"/>
          <w:kern w:val="0"/>
          <w:sz w:val="30"/>
          <w:szCs w:val="30"/>
          <w:bdr w:val="none" w:sz="0" w:space="0" w:color="auto" w:frame="1"/>
        </w:rPr>
        <w:t>∣</w:t>
      </w:r>
      <w:r w:rsidRPr="007D402B">
        <w:rPr>
          <w:rFonts w:ascii="宋体" w:eastAsia="宋体" w:hAnsi="宋体" w:cs="Arial"/>
          <w:bCs/>
          <w:color w:val="191919"/>
          <w:kern w:val="0"/>
          <w:sz w:val="30"/>
          <w:szCs w:val="30"/>
          <w:bdr w:val="none" w:sz="0" w:space="0" w:color="auto" w:frame="1"/>
        </w:rPr>
        <w:t>选聘基准价-审计费用报价</w:t>
      </w:r>
      <w:r w:rsidRPr="007D402B">
        <w:rPr>
          <w:rFonts w:ascii="宋体" w:eastAsia="宋体" w:hAnsi="宋体" w:cs="微软雅黑" w:hint="eastAsia"/>
          <w:bCs/>
          <w:color w:val="191919"/>
          <w:kern w:val="0"/>
          <w:sz w:val="30"/>
          <w:szCs w:val="30"/>
          <w:bdr w:val="none" w:sz="0" w:space="0" w:color="auto" w:frame="1"/>
        </w:rPr>
        <w:t>∣</w:t>
      </w:r>
      <w:r w:rsidRPr="007D402B">
        <w:rPr>
          <w:rFonts w:ascii="宋体" w:eastAsia="宋体" w:hAnsi="宋体" w:cs="Arial"/>
          <w:bCs/>
          <w:color w:val="191919"/>
          <w:kern w:val="0"/>
          <w:sz w:val="30"/>
          <w:szCs w:val="30"/>
          <w:bdr w:val="none" w:sz="0" w:space="0" w:color="auto" w:frame="1"/>
        </w:rPr>
        <w:t>/选聘基准价）×审计费用报价要素所占权重分值</w:t>
      </w:r>
    </w:p>
    <w:p w14:paraId="470C2829"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第十条</w:t>
      </w:r>
      <w:r w:rsidRPr="007D402B">
        <w:rPr>
          <w:rFonts w:ascii="宋体" w:eastAsia="宋体" w:hAnsi="宋体" w:cs="Arial"/>
          <w:bCs/>
          <w:color w:val="191919"/>
          <w:kern w:val="0"/>
          <w:sz w:val="30"/>
          <w:szCs w:val="30"/>
          <w:bdr w:val="none" w:sz="0" w:space="0" w:color="auto" w:frame="1"/>
        </w:rPr>
        <w:t xml:space="preserve"> 国有企业、上市公司选聘会计师事务所原则上不得设置最高限价，确需设置的，应当在选聘文件中说明该最高限价的确定依据及合理性。</w:t>
      </w:r>
    </w:p>
    <w:p w14:paraId="722665D3"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第十一条</w:t>
      </w:r>
      <w:r w:rsidRPr="007D402B">
        <w:rPr>
          <w:rFonts w:ascii="宋体" w:eastAsia="宋体" w:hAnsi="宋体" w:cs="Arial"/>
          <w:bCs/>
          <w:color w:val="191919"/>
          <w:kern w:val="0"/>
          <w:sz w:val="30"/>
          <w:szCs w:val="30"/>
          <w:bdr w:val="none" w:sz="0" w:space="0" w:color="auto" w:frame="1"/>
        </w:rPr>
        <w:t xml:space="preserve"> 聘任期内，国有企业、上市公司和会计师事务所可以根据消费者物价指数、社会平均工资水平变化，以及业务规模、业务复杂程度变化等因素合理调整审计费用。</w:t>
      </w:r>
    </w:p>
    <w:p w14:paraId="5405C157"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lastRenderedPageBreak/>
        <w:t>审计费用较上一年度下降</w:t>
      </w:r>
      <w:r w:rsidRPr="007D402B">
        <w:rPr>
          <w:rFonts w:ascii="宋体" w:eastAsia="宋体" w:hAnsi="宋体" w:cs="Arial"/>
          <w:bCs/>
          <w:color w:val="191919"/>
          <w:kern w:val="0"/>
          <w:sz w:val="30"/>
          <w:szCs w:val="30"/>
          <w:bdr w:val="none" w:sz="0" w:space="0" w:color="auto" w:frame="1"/>
        </w:rPr>
        <w:t>20%以上（含20%）的，上市公司应当按要求在信息披露文件中说明本期审计费用的金额、定价原则、变化情况和变化原因，国有企业应当及时向履行出资人职责的机构报送有关情况说明。</w:t>
      </w:r>
    </w:p>
    <w:p w14:paraId="0ECCA802"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第十二条</w:t>
      </w:r>
      <w:r w:rsidRPr="007D402B">
        <w:rPr>
          <w:rFonts w:ascii="宋体" w:eastAsia="宋体" w:hAnsi="宋体" w:cs="Arial"/>
          <w:bCs/>
          <w:color w:val="191919"/>
          <w:kern w:val="0"/>
          <w:sz w:val="30"/>
          <w:szCs w:val="30"/>
          <w:bdr w:val="none" w:sz="0" w:space="0" w:color="auto" w:frame="1"/>
        </w:rPr>
        <w:t xml:space="preserve"> </w:t>
      </w:r>
      <w:r w:rsidRPr="007D402B">
        <w:rPr>
          <w:rFonts w:ascii="宋体" w:eastAsia="宋体" w:hAnsi="宋体" w:cs="Arial"/>
          <w:bCs/>
          <w:color w:val="191919"/>
          <w:kern w:val="0"/>
          <w:sz w:val="30"/>
          <w:szCs w:val="30"/>
          <w:highlight w:val="yellow"/>
          <w:bdr w:val="none" w:sz="0" w:space="0" w:color="auto" w:frame="1"/>
        </w:rPr>
        <w:t>国有企业连续聘任同一会计师事务所原则上不超过8年</w:t>
      </w:r>
      <w:r w:rsidRPr="007D402B">
        <w:rPr>
          <w:rFonts w:ascii="宋体" w:eastAsia="宋体" w:hAnsi="宋体" w:cs="Arial"/>
          <w:bCs/>
          <w:color w:val="191919"/>
          <w:kern w:val="0"/>
          <w:sz w:val="30"/>
          <w:szCs w:val="30"/>
          <w:bdr w:val="none" w:sz="0" w:space="0" w:color="auto" w:frame="1"/>
        </w:rPr>
        <w:t>。国有企业因业务需要拟继续聘用同一会计师事务所超过8年的，应当综合考虑会计师事务所前期审计质量、股东评价、监管部门意见等情况，在履行法人治理程序及内部决策程序后，</w:t>
      </w:r>
      <w:r w:rsidRPr="007D402B">
        <w:rPr>
          <w:rFonts w:ascii="宋体" w:eastAsia="宋体" w:hAnsi="宋体" w:cs="Arial"/>
          <w:bCs/>
          <w:color w:val="191919"/>
          <w:kern w:val="0"/>
          <w:sz w:val="30"/>
          <w:szCs w:val="30"/>
          <w:highlight w:val="yellow"/>
          <w:bdr w:val="none" w:sz="0" w:space="0" w:color="auto" w:frame="1"/>
        </w:rPr>
        <w:t>可适当延长聘用年限，但连续聘任期限不得超过10年</w:t>
      </w:r>
      <w:r w:rsidRPr="007D402B">
        <w:rPr>
          <w:rFonts w:ascii="宋体" w:eastAsia="宋体" w:hAnsi="宋体" w:cs="Arial"/>
          <w:bCs/>
          <w:color w:val="191919"/>
          <w:kern w:val="0"/>
          <w:sz w:val="30"/>
          <w:szCs w:val="30"/>
          <w:bdr w:val="none" w:sz="0" w:space="0" w:color="auto" w:frame="1"/>
        </w:rPr>
        <w:t>。</w:t>
      </w:r>
    </w:p>
    <w:p w14:paraId="382B4FEA"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第十三条</w:t>
      </w:r>
      <w:r w:rsidRPr="007D402B">
        <w:rPr>
          <w:rFonts w:ascii="宋体" w:eastAsia="宋体" w:hAnsi="宋体" w:cs="Arial"/>
          <w:bCs/>
          <w:color w:val="191919"/>
          <w:kern w:val="0"/>
          <w:sz w:val="30"/>
          <w:szCs w:val="30"/>
          <w:bdr w:val="none" w:sz="0" w:space="0" w:color="auto" w:frame="1"/>
        </w:rPr>
        <w:t xml:space="preserve"> 审计项目合伙人、签字注册会计师</w:t>
      </w:r>
      <w:r w:rsidRPr="007D402B">
        <w:rPr>
          <w:rFonts w:ascii="宋体" w:eastAsia="宋体" w:hAnsi="宋体" w:cs="Arial"/>
          <w:bCs/>
          <w:color w:val="191919"/>
          <w:kern w:val="0"/>
          <w:sz w:val="30"/>
          <w:szCs w:val="30"/>
          <w:highlight w:val="yellow"/>
          <w:bdr w:val="none" w:sz="0" w:space="0" w:color="auto" w:frame="1"/>
        </w:rPr>
        <w:t>累计实际承担同一国有企业、上市公司审计业务满5年的，之后连续5年不得参与该国有企业、上市公司的审计业务</w:t>
      </w:r>
      <w:r w:rsidRPr="007D402B">
        <w:rPr>
          <w:rFonts w:ascii="宋体" w:eastAsia="宋体" w:hAnsi="宋体" w:cs="Arial"/>
          <w:bCs/>
          <w:color w:val="191919"/>
          <w:kern w:val="0"/>
          <w:sz w:val="30"/>
          <w:szCs w:val="30"/>
          <w:bdr w:val="none" w:sz="0" w:space="0" w:color="auto" w:frame="1"/>
        </w:rPr>
        <w:t>。</w:t>
      </w:r>
    </w:p>
    <w:p w14:paraId="55748276"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审计项目合伙人、签字注册会计师由于工作变动，在不同会计师事务所为同一国有企业、上市公司提供审计服务的期限应当</w:t>
      </w:r>
      <w:r w:rsidRPr="007D402B">
        <w:rPr>
          <w:rFonts w:ascii="宋体" w:eastAsia="宋体" w:hAnsi="宋体" w:cs="Arial" w:hint="eastAsia"/>
          <w:bCs/>
          <w:color w:val="191919"/>
          <w:kern w:val="0"/>
          <w:sz w:val="30"/>
          <w:szCs w:val="30"/>
          <w:highlight w:val="yellow"/>
          <w:bdr w:val="none" w:sz="0" w:space="0" w:color="auto" w:frame="1"/>
        </w:rPr>
        <w:t>合并计算</w:t>
      </w:r>
      <w:r w:rsidRPr="007D402B">
        <w:rPr>
          <w:rFonts w:ascii="宋体" w:eastAsia="宋体" w:hAnsi="宋体" w:cs="Arial" w:hint="eastAsia"/>
          <w:bCs/>
          <w:color w:val="191919"/>
          <w:kern w:val="0"/>
          <w:sz w:val="30"/>
          <w:szCs w:val="30"/>
          <w:bdr w:val="none" w:sz="0" w:space="0" w:color="auto" w:frame="1"/>
        </w:rPr>
        <w:t>。</w:t>
      </w:r>
    </w:p>
    <w:p w14:paraId="65EEE316"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国有企业、上市公司发生重大资产重组、子公司分拆上市，为其提供审计服务的审计项目合伙人、签字注册会计师未变更的，相关审计项目合伙人、签字注册会计师在该重大资产重组、子公司分拆上市前后提供审计服务的</w:t>
      </w:r>
      <w:r w:rsidRPr="007D402B">
        <w:rPr>
          <w:rFonts w:ascii="宋体" w:eastAsia="宋体" w:hAnsi="宋体" w:cs="Arial" w:hint="eastAsia"/>
          <w:bCs/>
          <w:color w:val="191919"/>
          <w:kern w:val="0"/>
          <w:sz w:val="30"/>
          <w:szCs w:val="30"/>
          <w:highlight w:val="yellow"/>
          <w:bdr w:val="none" w:sz="0" w:space="0" w:color="auto" w:frame="1"/>
        </w:rPr>
        <w:t>期限应当合并计算</w:t>
      </w:r>
      <w:r w:rsidRPr="007D402B">
        <w:rPr>
          <w:rFonts w:ascii="宋体" w:eastAsia="宋体" w:hAnsi="宋体" w:cs="Arial" w:hint="eastAsia"/>
          <w:bCs/>
          <w:color w:val="191919"/>
          <w:kern w:val="0"/>
          <w:sz w:val="30"/>
          <w:szCs w:val="30"/>
          <w:bdr w:val="none" w:sz="0" w:space="0" w:color="auto" w:frame="1"/>
        </w:rPr>
        <w:t>。</w:t>
      </w:r>
    </w:p>
    <w:p w14:paraId="4D3F860C"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审计项目合伙人、签字注册会计师</w:t>
      </w:r>
      <w:r w:rsidRPr="007D402B">
        <w:rPr>
          <w:rFonts w:ascii="宋体" w:eastAsia="宋体" w:hAnsi="宋体" w:cs="Arial" w:hint="eastAsia"/>
          <w:bCs/>
          <w:color w:val="191919"/>
          <w:kern w:val="0"/>
          <w:sz w:val="30"/>
          <w:szCs w:val="30"/>
          <w:highlight w:val="yellow"/>
          <w:bdr w:val="none" w:sz="0" w:space="0" w:color="auto" w:frame="1"/>
        </w:rPr>
        <w:t>在公司上市前后审计服务年限应当合并计算</w:t>
      </w:r>
      <w:r w:rsidRPr="007D402B">
        <w:rPr>
          <w:rFonts w:ascii="宋体" w:eastAsia="宋体" w:hAnsi="宋体" w:cs="Arial" w:hint="eastAsia"/>
          <w:bCs/>
          <w:color w:val="191919"/>
          <w:kern w:val="0"/>
          <w:sz w:val="30"/>
          <w:szCs w:val="30"/>
          <w:bdr w:val="none" w:sz="0" w:space="0" w:color="auto" w:frame="1"/>
        </w:rPr>
        <w:t>。审计项目合伙人、签字注册会计师承担首次公开发行股票或者向不特定对象公开发行股票并上市审计</w:t>
      </w:r>
      <w:r w:rsidRPr="007D402B">
        <w:rPr>
          <w:rFonts w:ascii="宋体" w:eastAsia="宋体" w:hAnsi="宋体" w:cs="Arial" w:hint="eastAsia"/>
          <w:bCs/>
          <w:color w:val="191919"/>
          <w:kern w:val="0"/>
          <w:sz w:val="30"/>
          <w:szCs w:val="30"/>
          <w:bdr w:val="none" w:sz="0" w:space="0" w:color="auto" w:frame="1"/>
        </w:rPr>
        <w:lastRenderedPageBreak/>
        <w:t>业务的，</w:t>
      </w:r>
      <w:r w:rsidRPr="007D402B">
        <w:rPr>
          <w:rFonts w:ascii="宋体" w:eastAsia="宋体" w:hAnsi="宋体" w:cs="Arial" w:hint="eastAsia"/>
          <w:bCs/>
          <w:color w:val="191919"/>
          <w:kern w:val="0"/>
          <w:sz w:val="30"/>
          <w:szCs w:val="30"/>
          <w:highlight w:val="yellow"/>
          <w:bdr w:val="none" w:sz="0" w:space="0" w:color="auto" w:frame="1"/>
        </w:rPr>
        <w:t>上市后连续执行审计业务的期限不得超过两年</w:t>
      </w:r>
      <w:r w:rsidRPr="007D402B">
        <w:rPr>
          <w:rFonts w:ascii="宋体" w:eastAsia="宋体" w:hAnsi="宋体" w:cs="Arial" w:hint="eastAsia"/>
          <w:bCs/>
          <w:color w:val="191919"/>
          <w:kern w:val="0"/>
          <w:sz w:val="30"/>
          <w:szCs w:val="30"/>
          <w:bdr w:val="none" w:sz="0" w:space="0" w:color="auto" w:frame="1"/>
        </w:rPr>
        <w:t>。</w:t>
      </w:r>
    </w:p>
    <w:p w14:paraId="72AF5696"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第十四条</w:t>
      </w:r>
      <w:r w:rsidRPr="007D402B">
        <w:rPr>
          <w:rFonts w:ascii="宋体" w:eastAsia="宋体" w:hAnsi="宋体" w:cs="Arial"/>
          <w:bCs/>
          <w:color w:val="191919"/>
          <w:kern w:val="0"/>
          <w:sz w:val="30"/>
          <w:szCs w:val="30"/>
          <w:bdr w:val="none" w:sz="0" w:space="0" w:color="auto" w:frame="1"/>
        </w:rPr>
        <w:t xml:space="preserve"> 国有企业、上市公司应当在年度财务决算报告或者年度报告中披露会计师事务所、审计项目合伙人、签字注册会计师的服务年限、审计费用等信息。</w:t>
      </w:r>
    </w:p>
    <w:p w14:paraId="5B2A6E48"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上市公司每年应当按要求披露对会计师事务所履职情况评估报告和审计委员会对会计师事务所履行监督职责情况报告，涉及变更会计师事务所的，还应当披露前任会计师事务所情况及上年度审计意见、变更会计师事务所的原因、与前后任会计师事务所的沟通情况等。国有企业应当按照履行出资人职责的机构要求报送有关情况说明。</w:t>
      </w:r>
    </w:p>
    <w:p w14:paraId="158FC2C4"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国有企业、上市公司更换会计师事务所的，应当在</w:t>
      </w:r>
      <w:r w:rsidRPr="007D402B">
        <w:rPr>
          <w:rFonts w:ascii="宋体" w:eastAsia="宋体" w:hAnsi="宋体" w:cs="Arial" w:hint="eastAsia"/>
          <w:bCs/>
          <w:color w:val="191919"/>
          <w:kern w:val="0"/>
          <w:sz w:val="30"/>
          <w:szCs w:val="30"/>
          <w:highlight w:val="yellow"/>
          <w:bdr w:val="none" w:sz="0" w:space="0" w:color="auto" w:frame="1"/>
        </w:rPr>
        <w:t>被审计年度第四季度结束前完成选聘工作</w:t>
      </w:r>
      <w:r w:rsidRPr="007D402B">
        <w:rPr>
          <w:rFonts w:ascii="宋体" w:eastAsia="宋体" w:hAnsi="宋体" w:cs="Arial" w:hint="eastAsia"/>
          <w:bCs/>
          <w:color w:val="191919"/>
          <w:kern w:val="0"/>
          <w:sz w:val="30"/>
          <w:szCs w:val="30"/>
          <w:bdr w:val="none" w:sz="0" w:space="0" w:color="auto" w:frame="1"/>
        </w:rPr>
        <w:t>。</w:t>
      </w:r>
    </w:p>
    <w:p w14:paraId="642B80EA"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第十五条</w:t>
      </w:r>
      <w:r w:rsidRPr="007D402B">
        <w:rPr>
          <w:rFonts w:ascii="宋体" w:eastAsia="宋体" w:hAnsi="宋体" w:cs="Arial"/>
          <w:bCs/>
          <w:color w:val="191919"/>
          <w:kern w:val="0"/>
          <w:sz w:val="30"/>
          <w:szCs w:val="30"/>
          <w:bdr w:val="none" w:sz="0" w:space="0" w:color="auto" w:frame="1"/>
        </w:rPr>
        <w:t xml:space="preserve"> 国有企业、上市公司审计委员会负责选聘会计师事务所工作，并监督其审计工作开展情况。审计委员会应当切实履行下列职责：</w:t>
      </w:r>
    </w:p>
    <w:p w14:paraId="66B69A2B"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（一）按照董事会的授权制定选聘会计师事务所的政策、流程及相关内部控制制度；</w:t>
      </w:r>
    </w:p>
    <w:p w14:paraId="1B3B9BBD"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（二）提议启动选聘会计师事务所相关工作；</w:t>
      </w:r>
    </w:p>
    <w:p w14:paraId="52F44704"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（三）审议选聘文件，确定评价要素和具体评分标准，监督选聘过程；</w:t>
      </w:r>
    </w:p>
    <w:p w14:paraId="4AE770F9"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（四）提出拟选聘会计师事务所及审计费用的建议，提交决策机构决定；</w:t>
      </w:r>
    </w:p>
    <w:p w14:paraId="5363507C"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lastRenderedPageBreak/>
        <w:t>（五）监督及评估会计师事务所审计工作；</w:t>
      </w:r>
    </w:p>
    <w:p w14:paraId="17BFE72E"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（六）定期（至少每年）向董事会提交对受聘会计师事务所的履职情况评估报告及审计委员会履行监督职责情况报告；</w:t>
      </w:r>
    </w:p>
    <w:p w14:paraId="7BC9657D"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（七）负责法律法规、章程和董事会授权的有关选聘会计师事务所的其他事项。</w:t>
      </w:r>
    </w:p>
    <w:p w14:paraId="063A8044"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第十六条</w:t>
      </w:r>
      <w:r w:rsidRPr="007D402B">
        <w:rPr>
          <w:rFonts w:ascii="宋体" w:eastAsia="宋体" w:hAnsi="宋体" w:cs="Arial"/>
          <w:bCs/>
          <w:color w:val="191919"/>
          <w:kern w:val="0"/>
          <w:sz w:val="30"/>
          <w:szCs w:val="30"/>
          <w:bdr w:val="none" w:sz="0" w:space="0" w:color="auto" w:frame="1"/>
        </w:rPr>
        <w:t xml:space="preserve"> 国有企业、上市公司审计委员会应当对下列情形保持高度谨慎和关注：</w:t>
      </w:r>
    </w:p>
    <w:p w14:paraId="619F0508"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（一）在资产负债表日后至年度报告出具前变更会计师事务所，连续两年变更会计师事务所，或者同一年度多次变更会计师事务所；</w:t>
      </w:r>
    </w:p>
    <w:p w14:paraId="5C4B9B0F"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（二）拟聘任的会计师事务所近</w:t>
      </w:r>
      <w:r w:rsidRPr="007D402B">
        <w:rPr>
          <w:rFonts w:ascii="宋体" w:eastAsia="宋体" w:hAnsi="宋体" w:cs="Arial"/>
          <w:bCs/>
          <w:color w:val="191919"/>
          <w:kern w:val="0"/>
          <w:sz w:val="30"/>
          <w:szCs w:val="30"/>
          <w:bdr w:val="none" w:sz="0" w:space="0" w:color="auto" w:frame="1"/>
        </w:rPr>
        <w:t>3年因执业质量被多次行政处罚或者多个审计项目正被立案调查；</w:t>
      </w:r>
    </w:p>
    <w:p w14:paraId="4DBBE7B3"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（三）拟聘任原审计团队转入其他会计师事务所的；</w:t>
      </w:r>
    </w:p>
    <w:p w14:paraId="6CF1B679"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（四）聘任期内审计费用较上一年度发生较大变动，或者选聘的成交价大幅低于基准价；</w:t>
      </w:r>
    </w:p>
    <w:p w14:paraId="391FD49B"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（五）会计师事务所未按要求实质性轮换审计项目合伙人、签字注册会计师。</w:t>
      </w:r>
    </w:p>
    <w:p w14:paraId="5B2BC4B1"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第十七条</w:t>
      </w:r>
      <w:r w:rsidRPr="007D402B">
        <w:rPr>
          <w:rFonts w:ascii="宋体" w:eastAsia="宋体" w:hAnsi="宋体" w:cs="Arial"/>
          <w:bCs/>
          <w:color w:val="191919"/>
          <w:kern w:val="0"/>
          <w:sz w:val="30"/>
          <w:szCs w:val="30"/>
          <w:bdr w:val="none" w:sz="0" w:space="0" w:color="auto" w:frame="1"/>
        </w:rPr>
        <w:t xml:space="preserve"> 国有企业、上市公司和受聘会计师事务所对选聘、应聘、评审、受聘文件和相关决策资料应当妥善归档保存，不得伪造、变造、隐匿或者销毁。文件资料的保存期限为选聘结束之日起至少10年。</w:t>
      </w:r>
    </w:p>
    <w:p w14:paraId="2BF8DFCE"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第十八条</w:t>
      </w:r>
      <w:r w:rsidRPr="007D402B">
        <w:rPr>
          <w:rFonts w:ascii="宋体" w:eastAsia="宋体" w:hAnsi="宋体" w:cs="Arial"/>
          <w:bCs/>
          <w:color w:val="191919"/>
          <w:kern w:val="0"/>
          <w:sz w:val="30"/>
          <w:szCs w:val="30"/>
          <w:bdr w:val="none" w:sz="0" w:space="0" w:color="auto" w:frame="1"/>
        </w:rPr>
        <w:t xml:space="preserve"> 国有企业、上市公司和会计师事务所应当提高信</w:t>
      </w:r>
      <w:r w:rsidRPr="007D402B">
        <w:rPr>
          <w:rFonts w:ascii="宋体" w:eastAsia="宋体" w:hAnsi="宋体" w:cs="Arial"/>
          <w:bCs/>
          <w:color w:val="191919"/>
          <w:kern w:val="0"/>
          <w:sz w:val="30"/>
          <w:szCs w:val="30"/>
          <w:bdr w:val="none" w:sz="0" w:space="0" w:color="auto" w:frame="1"/>
        </w:rPr>
        <w:lastRenderedPageBreak/>
        <w:t>息安全意识，严格遵守国家有关信息安全的法律法规，认真落实监管部门对信息安全的监管要求，切实担负起信息安全的主体责任和保密责任。国有企业、上市公司在选聘时要加强对会计师事务所信息安全管理能力的审查，在选聘合同中应设置单独条款明确信息安全保护责任和要求，在向会计师事务所提供文件资料时加强对涉密敏感信息的管控，有效防范信息泄露风险。会计师事务所应履行信息安全保护义务，依法依规依合同规范信息数据处理活动。</w:t>
      </w:r>
    </w:p>
    <w:p w14:paraId="4CBDDEF9"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第十九条</w:t>
      </w:r>
      <w:r w:rsidRPr="007D402B">
        <w:rPr>
          <w:rFonts w:ascii="宋体" w:eastAsia="宋体" w:hAnsi="宋体" w:cs="Arial"/>
          <w:bCs/>
          <w:color w:val="191919"/>
          <w:kern w:val="0"/>
          <w:sz w:val="30"/>
          <w:szCs w:val="30"/>
          <w:bdr w:val="none" w:sz="0" w:space="0" w:color="auto" w:frame="1"/>
        </w:rPr>
        <w:t xml:space="preserve"> 财政部门负责对会计师事务所参与应聘有关行为实施监督管理，履行出资人职责的机构以及证券监督管理机构按职责负责对国有企业、上市公司选聘行为实施监督管理。</w:t>
      </w:r>
    </w:p>
    <w:p w14:paraId="1627F94B"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财政部门可以对违反本办法规定的会计师事务所依法采取责令改正、监管谈话、出具问询函、出具警示函、责令公开说明、责令定期报告等管理措施。</w:t>
      </w:r>
    </w:p>
    <w:p w14:paraId="6E15381A"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履行出资人职责的机构可以对违反本办法规定的国有企业依法采取通报批评、考核扣分、责任追究、撤销选聘结果、责令更换审计机构等管理措施。</w:t>
      </w:r>
    </w:p>
    <w:p w14:paraId="61BF018C"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证券监督管理机构可以对违反本办法规定的上市公司依法采取责令改正、监管谈话、出具警示函等管理措施。</w:t>
      </w:r>
    </w:p>
    <w:p w14:paraId="66149D7F"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第二十条</w:t>
      </w:r>
      <w:r w:rsidRPr="007D402B">
        <w:rPr>
          <w:rFonts w:ascii="宋体" w:eastAsia="宋体" w:hAnsi="宋体" w:cs="Arial"/>
          <w:bCs/>
          <w:color w:val="191919"/>
          <w:kern w:val="0"/>
          <w:sz w:val="30"/>
          <w:szCs w:val="30"/>
          <w:bdr w:val="none" w:sz="0" w:space="0" w:color="auto" w:frame="1"/>
        </w:rPr>
        <w:t xml:space="preserve"> 国有金融企业选聘会计师事务所可以参照本办法执行，国务院财政部门另有规定的，从其规定。</w:t>
      </w:r>
    </w:p>
    <w:p w14:paraId="33F30CAE"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第二十一条</w:t>
      </w:r>
      <w:r w:rsidRPr="007D402B">
        <w:rPr>
          <w:rFonts w:ascii="宋体" w:eastAsia="宋体" w:hAnsi="宋体" w:cs="Arial"/>
          <w:bCs/>
          <w:color w:val="191919"/>
          <w:kern w:val="0"/>
          <w:sz w:val="30"/>
          <w:szCs w:val="30"/>
          <w:bdr w:val="none" w:sz="0" w:space="0" w:color="auto" w:frame="1"/>
        </w:rPr>
        <w:t xml:space="preserve"> 本办法由财政部、国务院国资委、证监会负责</w:t>
      </w:r>
      <w:r w:rsidRPr="007D402B">
        <w:rPr>
          <w:rFonts w:ascii="宋体" w:eastAsia="宋体" w:hAnsi="宋体" w:cs="Arial"/>
          <w:bCs/>
          <w:color w:val="191919"/>
          <w:kern w:val="0"/>
          <w:sz w:val="30"/>
          <w:szCs w:val="30"/>
          <w:bdr w:val="none" w:sz="0" w:space="0" w:color="auto" w:frame="1"/>
        </w:rPr>
        <w:lastRenderedPageBreak/>
        <w:t>解释。</w:t>
      </w:r>
    </w:p>
    <w:p w14:paraId="444B76D8" w14:textId="77777777" w:rsidR="007D402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第二十二条</w:t>
      </w:r>
      <w:r w:rsidRPr="007D402B">
        <w:rPr>
          <w:rFonts w:ascii="宋体" w:eastAsia="宋体" w:hAnsi="宋体" w:cs="Arial"/>
          <w:bCs/>
          <w:color w:val="191919"/>
          <w:kern w:val="0"/>
          <w:sz w:val="30"/>
          <w:szCs w:val="30"/>
          <w:bdr w:val="none" w:sz="0" w:space="0" w:color="auto" w:frame="1"/>
        </w:rPr>
        <w:t xml:space="preserve"> 本办法自印发之日起施行。《委托会计师事务所审计招标规范》（财会〔2006〕2号）、《关于会计师事务所承担中央企业财务决算审计有关问题的通知》（财会〔2011〕24号）有关规定与本办法不一致的，以本办法为准。</w:t>
      </w:r>
    </w:p>
    <w:p w14:paraId="5F2D0E91" w14:textId="10D486FE" w:rsidR="00B65B3B" w:rsidRPr="007D402B" w:rsidRDefault="007D402B" w:rsidP="007D402B">
      <w:pPr>
        <w:spacing w:line="360" w:lineRule="auto"/>
        <w:ind w:firstLineChars="200" w:firstLine="600"/>
        <w:rPr>
          <w:rFonts w:ascii="宋体" w:eastAsia="宋体" w:hAnsi="宋体" w:cs="Arial"/>
          <w:bCs/>
          <w:color w:val="191919"/>
          <w:kern w:val="0"/>
          <w:sz w:val="30"/>
          <w:szCs w:val="30"/>
          <w:bdr w:val="none" w:sz="0" w:space="0" w:color="auto" w:frame="1"/>
        </w:rPr>
      </w:pPr>
      <w:r w:rsidRPr="007D402B">
        <w:rPr>
          <w:rFonts w:ascii="宋体" w:eastAsia="宋体" w:hAnsi="宋体" w:cs="Arial" w:hint="eastAsia"/>
          <w:bCs/>
          <w:color w:val="191919"/>
          <w:kern w:val="0"/>
          <w:sz w:val="30"/>
          <w:szCs w:val="30"/>
          <w:bdr w:val="none" w:sz="0" w:space="0" w:color="auto" w:frame="1"/>
        </w:rPr>
        <w:t>国有企业当前执行的会计师事务所轮换规定与本办法第十二条规定不一致的，或者没有规定的，由履行出资人职责的机构统筹安排，自本办法施行之日起两年内完成衔接工作。</w:t>
      </w:r>
    </w:p>
    <w:sectPr w:rsidR="00B65B3B" w:rsidRPr="007D40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2AF03" w14:textId="77777777" w:rsidR="00595CA7" w:rsidRDefault="00595CA7" w:rsidP="009F26FF">
      <w:r>
        <w:separator/>
      </w:r>
    </w:p>
  </w:endnote>
  <w:endnote w:type="continuationSeparator" w:id="0">
    <w:p w14:paraId="39A44A41" w14:textId="77777777" w:rsidR="00595CA7" w:rsidRDefault="00595CA7" w:rsidP="009F2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BE383" w14:textId="77777777" w:rsidR="00595CA7" w:rsidRDefault="00595CA7" w:rsidP="009F26FF">
      <w:r>
        <w:separator/>
      </w:r>
    </w:p>
  </w:footnote>
  <w:footnote w:type="continuationSeparator" w:id="0">
    <w:p w14:paraId="3AA98769" w14:textId="77777777" w:rsidR="00595CA7" w:rsidRDefault="00595CA7" w:rsidP="009F26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30B27"/>
    <w:rsid w:val="001807E4"/>
    <w:rsid w:val="003916D9"/>
    <w:rsid w:val="004137A3"/>
    <w:rsid w:val="00586948"/>
    <w:rsid w:val="00595CA7"/>
    <w:rsid w:val="006640A3"/>
    <w:rsid w:val="00793EA7"/>
    <w:rsid w:val="007D402B"/>
    <w:rsid w:val="007E5552"/>
    <w:rsid w:val="007E5CD4"/>
    <w:rsid w:val="007E7C83"/>
    <w:rsid w:val="008D09B8"/>
    <w:rsid w:val="008E411C"/>
    <w:rsid w:val="008E5E20"/>
    <w:rsid w:val="00924172"/>
    <w:rsid w:val="00930B27"/>
    <w:rsid w:val="009F26FF"/>
    <w:rsid w:val="00A0249E"/>
    <w:rsid w:val="00A1315E"/>
    <w:rsid w:val="00B65B3B"/>
    <w:rsid w:val="00B81D9F"/>
    <w:rsid w:val="00D7062A"/>
    <w:rsid w:val="00EC40B5"/>
    <w:rsid w:val="00F2166D"/>
    <w:rsid w:val="00F36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B506C"/>
  <w15:docId w15:val="{D20BAC68-8DCE-4004-9694-6C173AA58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6640A3"/>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
    <w:semiHidden/>
    <w:unhideWhenUsed/>
    <w:qFormat/>
    <w:rsid w:val="00EC40B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26F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26FF"/>
    <w:rPr>
      <w:sz w:val="18"/>
      <w:szCs w:val="18"/>
    </w:rPr>
  </w:style>
  <w:style w:type="paragraph" w:styleId="a5">
    <w:name w:val="footer"/>
    <w:basedOn w:val="a"/>
    <w:link w:val="a6"/>
    <w:uiPriority w:val="99"/>
    <w:unhideWhenUsed/>
    <w:rsid w:val="009F26FF"/>
    <w:pPr>
      <w:tabs>
        <w:tab w:val="center" w:pos="4153"/>
        <w:tab w:val="right" w:pos="8306"/>
      </w:tabs>
      <w:snapToGrid w:val="0"/>
      <w:jc w:val="left"/>
    </w:pPr>
    <w:rPr>
      <w:sz w:val="18"/>
      <w:szCs w:val="18"/>
    </w:rPr>
  </w:style>
  <w:style w:type="character" w:customStyle="1" w:styleId="a6">
    <w:name w:val="页脚 字符"/>
    <w:basedOn w:val="a0"/>
    <w:link w:val="a5"/>
    <w:uiPriority w:val="99"/>
    <w:rsid w:val="009F26FF"/>
    <w:rPr>
      <w:sz w:val="18"/>
      <w:szCs w:val="18"/>
    </w:rPr>
  </w:style>
  <w:style w:type="paragraph" w:styleId="a7">
    <w:name w:val="Normal (Web)"/>
    <w:basedOn w:val="a"/>
    <w:uiPriority w:val="99"/>
    <w:unhideWhenUsed/>
    <w:rsid w:val="009F26FF"/>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9F26FF"/>
    <w:rPr>
      <w:b/>
      <w:bCs/>
    </w:rPr>
  </w:style>
  <w:style w:type="character" w:customStyle="1" w:styleId="apple-converted-space">
    <w:name w:val="apple-converted-space"/>
    <w:basedOn w:val="a0"/>
    <w:rsid w:val="009F26FF"/>
  </w:style>
  <w:style w:type="character" w:customStyle="1" w:styleId="10">
    <w:name w:val="标题 1 字符"/>
    <w:basedOn w:val="a0"/>
    <w:link w:val="1"/>
    <w:uiPriority w:val="9"/>
    <w:rsid w:val="006640A3"/>
    <w:rPr>
      <w:rFonts w:ascii="宋体" w:eastAsia="宋体" w:hAnsi="宋体" w:cs="宋体"/>
      <w:b/>
      <w:bCs/>
      <w:kern w:val="36"/>
      <w:sz w:val="48"/>
      <w:szCs w:val="48"/>
    </w:rPr>
  </w:style>
  <w:style w:type="character" w:customStyle="1" w:styleId="wxtaplink">
    <w:name w:val="wx_tap_link"/>
    <w:basedOn w:val="a0"/>
    <w:rsid w:val="006640A3"/>
  </w:style>
  <w:style w:type="character" w:customStyle="1" w:styleId="richmediameta">
    <w:name w:val="rich_media_meta"/>
    <w:basedOn w:val="a0"/>
    <w:rsid w:val="006640A3"/>
  </w:style>
  <w:style w:type="character" w:styleId="a9">
    <w:name w:val="Hyperlink"/>
    <w:basedOn w:val="a0"/>
    <w:uiPriority w:val="99"/>
    <w:semiHidden/>
    <w:unhideWhenUsed/>
    <w:rsid w:val="006640A3"/>
    <w:rPr>
      <w:color w:val="0000FF"/>
      <w:u w:val="single"/>
    </w:rPr>
  </w:style>
  <w:style w:type="character" w:styleId="aa">
    <w:name w:val="Emphasis"/>
    <w:basedOn w:val="a0"/>
    <w:uiPriority w:val="20"/>
    <w:qFormat/>
    <w:rsid w:val="006640A3"/>
    <w:rPr>
      <w:i/>
      <w:iCs/>
    </w:rPr>
  </w:style>
  <w:style w:type="character" w:customStyle="1" w:styleId="20">
    <w:name w:val="标题 2 字符"/>
    <w:basedOn w:val="a0"/>
    <w:link w:val="2"/>
    <w:uiPriority w:val="9"/>
    <w:semiHidden/>
    <w:rsid w:val="00EC40B5"/>
    <w:rPr>
      <w:rFonts w:asciiTheme="majorHAnsi" w:eastAsiaTheme="majorEastAsia" w:hAnsiTheme="majorHAnsi" w:cstheme="majorBidi"/>
      <w:b/>
      <w:bCs/>
      <w:sz w:val="32"/>
      <w:szCs w:val="32"/>
    </w:rPr>
  </w:style>
  <w:style w:type="paragraph" w:customStyle="1" w:styleId="ql-align-center">
    <w:name w:val="ql-align-center"/>
    <w:basedOn w:val="a"/>
    <w:rsid w:val="00A1315E"/>
    <w:pPr>
      <w:widowControl/>
      <w:spacing w:before="100" w:beforeAutospacing="1" w:after="100" w:afterAutospacing="1"/>
      <w:jc w:val="left"/>
    </w:pPr>
    <w:rPr>
      <w:rFonts w:ascii="宋体" w:eastAsia="宋体" w:hAnsi="宋体" w:cs="宋体"/>
      <w:kern w:val="0"/>
      <w:sz w:val="24"/>
      <w:szCs w:val="24"/>
    </w:rPr>
  </w:style>
  <w:style w:type="paragraph" w:styleId="ab">
    <w:name w:val="List Paragraph"/>
    <w:basedOn w:val="a"/>
    <w:uiPriority w:val="34"/>
    <w:qFormat/>
    <w:rsid w:val="007D402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3242">
      <w:bodyDiv w:val="1"/>
      <w:marLeft w:val="0"/>
      <w:marRight w:val="0"/>
      <w:marTop w:val="0"/>
      <w:marBottom w:val="0"/>
      <w:divBdr>
        <w:top w:val="none" w:sz="0" w:space="0" w:color="auto"/>
        <w:left w:val="none" w:sz="0" w:space="0" w:color="auto"/>
        <w:bottom w:val="none" w:sz="0" w:space="0" w:color="auto"/>
        <w:right w:val="none" w:sz="0" w:space="0" w:color="auto"/>
      </w:divBdr>
    </w:div>
    <w:div w:id="165873713">
      <w:bodyDiv w:val="1"/>
      <w:marLeft w:val="0"/>
      <w:marRight w:val="0"/>
      <w:marTop w:val="0"/>
      <w:marBottom w:val="0"/>
      <w:divBdr>
        <w:top w:val="none" w:sz="0" w:space="0" w:color="auto"/>
        <w:left w:val="none" w:sz="0" w:space="0" w:color="auto"/>
        <w:bottom w:val="none" w:sz="0" w:space="0" w:color="auto"/>
        <w:right w:val="none" w:sz="0" w:space="0" w:color="auto"/>
      </w:divBdr>
    </w:div>
    <w:div w:id="412703898">
      <w:bodyDiv w:val="1"/>
      <w:marLeft w:val="0"/>
      <w:marRight w:val="0"/>
      <w:marTop w:val="0"/>
      <w:marBottom w:val="0"/>
      <w:divBdr>
        <w:top w:val="none" w:sz="0" w:space="0" w:color="auto"/>
        <w:left w:val="none" w:sz="0" w:space="0" w:color="auto"/>
        <w:bottom w:val="none" w:sz="0" w:space="0" w:color="auto"/>
        <w:right w:val="none" w:sz="0" w:space="0" w:color="auto"/>
      </w:divBdr>
    </w:div>
    <w:div w:id="427964967">
      <w:bodyDiv w:val="1"/>
      <w:marLeft w:val="0"/>
      <w:marRight w:val="0"/>
      <w:marTop w:val="0"/>
      <w:marBottom w:val="0"/>
      <w:divBdr>
        <w:top w:val="none" w:sz="0" w:space="0" w:color="auto"/>
        <w:left w:val="none" w:sz="0" w:space="0" w:color="auto"/>
        <w:bottom w:val="none" w:sz="0" w:space="0" w:color="auto"/>
        <w:right w:val="none" w:sz="0" w:space="0" w:color="auto"/>
      </w:divBdr>
    </w:div>
    <w:div w:id="629940591">
      <w:bodyDiv w:val="1"/>
      <w:marLeft w:val="0"/>
      <w:marRight w:val="0"/>
      <w:marTop w:val="0"/>
      <w:marBottom w:val="0"/>
      <w:divBdr>
        <w:top w:val="none" w:sz="0" w:space="0" w:color="auto"/>
        <w:left w:val="none" w:sz="0" w:space="0" w:color="auto"/>
        <w:bottom w:val="none" w:sz="0" w:space="0" w:color="auto"/>
        <w:right w:val="none" w:sz="0" w:space="0" w:color="auto"/>
      </w:divBdr>
    </w:div>
    <w:div w:id="818964464">
      <w:bodyDiv w:val="1"/>
      <w:marLeft w:val="0"/>
      <w:marRight w:val="0"/>
      <w:marTop w:val="0"/>
      <w:marBottom w:val="0"/>
      <w:divBdr>
        <w:top w:val="none" w:sz="0" w:space="0" w:color="auto"/>
        <w:left w:val="none" w:sz="0" w:space="0" w:color="auto"/>
        <w:bottom w:val="none" w:sz="0" w:space="0" w:color="auto"/>
        <w:right w:val="none" w:sz="0" w:space="0" w:color="auto"/>
      </w:divBdr>
    </w:div>
    <w:div w:id="959724976">
      <w:bodyDiv w:val="1"/>
      <w:marLeft w:val="0"/>
      <w:marRight w:val="0"/>
      <w:marTop w:val="0"/>
      <w:marBottom w:val="0"/>
      <w:divBdr>
        <w:top w:val="none" w:sz="0" w:space="0" w:color="auto"/>
        <w:left w:val="none" w:sz="0" w:space="0" w:color="auto"/>
        <w:bottom w:val="none" w:sz="0" w:space="0" w:color="auto"/>
        <w:right w:val="none" w:sz="0" w:space="0" w:color="auto"/>
      </w:divBdr>
    </w:div>
    <w:div w:id="1138648795">
      <w:bodyDiv w:val="1"/>
      <w:marLeft w:val="0"/>
      <w:marRight w:val="0"/>
      <w:marTop w:val="0"/>
      <w:marBottom w:val="0"/>
      <w:divBdr>
        <w:top w:val="none" w:sz="0" w:space="0" w:color="auto"/>
        <w:left w:val="none" w:sz="0" w:space="0" w:color="auto"/>
        <w:bottom w:val="none" w:sz="0" w:space="0" w:color="auto"/>
        <w:right w:val="none" w:sz="0" w:space="0" w:color="auto"/>
      </w:divBdr>
      <w:divsChild>
        <w:div w:id="2066365376">
          <w:marLeft w:val="0"/>
          <w:marRight w:val="0"/>
          <w:marTop w:val="0"/>
          <w:marBottom w:val="330"/>
          <w:divBdr>
            <w:top w:val="none" w:sz="0" w:space="0" w:color="auto"/>
            <w:left w:val="none" w:sz="0" w:space="0" w:color="auto"/>
            <w:bottom w:val="none" w:sz="0" w:space="0" w:color="auto"/>
            <w:right w:val="none" w:sz="0" w:space="0" w:color="auto"/>
          </w:divBdr>
        </w:div>
      </w:divsChild>
    </w:div>
    <w:div w:id="1306740072">
      <w:bodyDiv w:val="1"/>
      <w:marLeft w:val="0"/>
      <w:marRight w:val="0"/>
      <w:marTop w:val="0"/>
      <w:marBottom w:val="0"/>
      <w:divBdr>
        <w:top w:val="none" w:sz="0" w:space="0" w:color="auto"/>
        <w:left w:val="none" w:sz="0" w:space="0" w:color="auto"/>
        <w:bottom w:val="none" w:sz="0" w:space="0" w:color="auto"/>
        <w:right w:val="none" w:sz="0" w:space="0" w:color="auto"/>
      </w:divBdr>
    </w:div>
    <w:div w:id="1390956647">
      <w:bodyDiv w:val="1"/>
      <w:marLeft w:val="0"/>
      <w:marRight w:val="0"/>
      <w:marTop w:val="0"/>
      <w:marBottom w:val="0"/>
      <w:divBdr>
        <w:top w:val="none" w:sz="0" w:space="0" w:color="auto"/>
        <w:left w:val="none" w:sz="0" w:space="0" w:color="auto"/>
        <w:bottom w:val="none" w:sz="0" w:space="0" w:color="auto"/>
        <w:right w:val="none" w:sz="0" w:space="0" w:color="auto"/>
      </w:divBdr>
      <w:divsChild>
        <w:div w:id="986282218">
          <w:marLeft w:val="0"/>
          <w:marRight w:val="0"/>
          <w:marTop w:val="0"/>
          <w:marBottom w:val="330"/>
          <w:divBdr>
            <w:top w:val="none" w:sz="0" w:space="0" w:color="auto"/>
            <w:left w:val="none" w:sz="0" w:space="0" w:color="auto"/>
            <w:bottom w:val="none" w:sz="0" w:space="0" w:color="auto"/>
            <w:right w:val="none" w:sz="0" w:space="0" w:color="auto"/>
          </w:divBdr>
        </w:div>
      </w:divsChild>
    </w:div>
    <w:div w:id="1687249787">
      <w:bodyDiv w:val="1"/>
      <w:marLeft w:val="0"/>
      <w:marRight w:val="0"/>
      <w:marTop w:val="0"/>
      <w:marBottom w:val="0"/>
      <w:divBdr>
        <w:top w:val="none" w:sz="0" w:space="0" w:color="auto"/>
        <w:left w:val="none" w:sz="0" w:space="0" w:color="auto"/>
        <w:bottom w:val="none" w:sz="0" w:space="0" w:color="auto"/>
        <w:right w:val="none" w:sz="0" w:space="0" w:color="auto"/>
      </w:divBdr>
    </w:div>
    <w:div w:id="1701666177">
      <w:bodyDiv w:val="1"/>
      <w:marLeft w:val="0"/>
      <w:marRight w:val="0"/>
      <w:marTop w:val="0"/>
      <w:marBottom w:val="0"/>
      <w:divBdr>
        <w:top w:val="none" w:sz="0" w:space="0" w:color="auto"/>
        <w:left w:val="none" w:sz="0" w:space="0" w:color="auto"/>
        <w:bottom w:val="none" w:sz="0" w:space="0" w:color="auto"/>
        <w:right w:val="none" w:sz="0" w:space="0" w:color="auto"/>
      </w:divBdr>
    </w:div>
    <w:div w:id="2003072919">
      <w:bodyDiv w:val="1"/>
      <w:marLeft w:val="0"/>
      <w:marRight w:val="0"/>
      <w:marTop w:val="0"/>
      <w:marBottom w:val="0"/>
      <w:divBdr>
        <w:top w:val="none" w:sz="0" w:space="0" w:color="auto"/>
        <w:left w:val="none" w:sz="0" w:space="0" w:color="auto"/>
        <w:bottom w:val="none" w:sz="0" w:space="0" w:color="auto"/>
        <w:right w:val="none" w:sz="0" w:space="0" w:color="auto"/>
      </w:divBdr>
    </w:div>
    <w:div w:id="2046828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8</Pages>
  <Words>561</Words>
  <Characters>3201</Characters>
  <Application>Microsoft Office Word</Application>
  <DocSecurity>0</DocSecurity>
  <Lines>26</Lines>
  <Paragraphs>7</Paragraphs>
  <ScaleCrop>false</ScaleCrop>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磊</dc:creator>
  <cp:keywords/>
  <dc:description/>
  <cp:lastModifiedBy>X1C17</cp:lastModifiedBy>
  <cp:revision>11</cp:revision>
  <dcterms:created xsi:type="dcterms:W3CDTF">2022-08-28T23:58:00Z</dcterms:created>
  <dcterms:modified xsi:type="dcterms:W3CDTF">2023-05-09T00:09:00Z</dcterms:modified>
</cp:coreProperties>
</file>